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504306" w:rsidP="00504306">
      <w:pPr>
        <w:pStyle w:val="1"/>
        <w:tabs>
          <w:tab w:val="center" w:pos="5386"/>
          <w:tab w:val="left" w:pos="9000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</w:t>
      </w:r>
      <w:r w:rsidR="00504306">
        <w:rPr>
          <w:b w:val="0"/>
          <w:szCs w:val="28"/>
        </w:rPr>
        <w:t xml:space="preserve"> </w:t>
      </w:r>
    </w:p>
    <w:bookmarkEnd w:id="0"/>
    <w:p w:rsidR="00614CB4" w:rsidRPr="00EA471D" w:rsidRDefault="00504306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" w:name="_GoBack"/>
      <w:bookmarkEnd w:id="1"/>
      <w:r w:rsidR="00E425D4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080861" w:rsidRPr="00A175AC" w:rsidRDefault="00080861" w:rsidP="0008086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A175AC">
        <w:rPr>
          <w:iCs/>
          <w:sz w:val="28"/>
          <w:szCs w:val="28"/>
        </w:rPr>
        <w:t xml:space="preserve">1)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1555,9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1565,8</w:t>
      </w:r>
      <w:r w:rsidRPr="00A175AC">
        <w:rPr>
          <w:iCs/>
          <w:sz w:val="28"/>
          <w:szCs w:val="28"/>
        </w:rPr>
        <w:t>»;</w:t>
      </w:r>
    </w:p>
    <w:p w:rsidR="00080861" w:rsidRDefault="00080861" w:rsidP="002F573D">
      <w:pPr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9D05BE" w:rsidP="009D05BE">
            <w:pPr>
              <w:spacing w:line="480" w:lineRule="auto"/>
              <w:rPr>
                <w:sz w:val="28"/>
                <w:szCs w:val="28"/>
              </w:rPr>
            </w:pPr>
            <w:r w:rsidRPr="009D05B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0808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60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9D05BE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187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276"/>
            </w:tblGrid>
            <w:tr w:rsidR="00AD1E8C" w:rsidTr="009D05BE">
              <w:trPr>
                <w:trHeight w:val="360"/>
              </w:trPr>
              <w:tc>
                <w:tcPr>
                  <w:tcW w:w="111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1A3203" w:rsidRDefault="000104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9B6846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9D05BE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3983.6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9B6846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D05BE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3625.7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9B6846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9B6846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494.</w:t>
                  </w:r>
                  <w:r w:rsidR="00C65D9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27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9B6846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9B6846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общегосударственные </w:t>
                  </w:r>
                  <w:r>
                    <w:rPr>
                      <w:sz w:val="28"/>
                      <w:szCs w:val="28"/>
                    </w:rPr>
                    <w:lastRenderedPageBreak/>
                    <w:t>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27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9B6846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9B6846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C4100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C4100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721.6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711.7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27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9B6846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443.0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свещения)в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7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9B6846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t xml:space="preserve">            </w:t>
            </w:r>
            <w:r w:rsidR="006732C5">
              <w:rPr>
                <w:sz w:val="28"/>
                <w:szCs w:val="28"/>
              </w:rPr>
              <w:t xml:space="preserve"> </w:t>
            </w:r>
            <w:r w:rsidR="00080861">
              <w:rPr>
                <w:sz w:val="28"/>
                <w:szCs w:val="28"/>
              </w:rPr>
              <w:t>3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gramStart"/>
                  <w:r>
                    <w:rPr>
                      <w:sz w:val="28"/>
                      <w:szCs w:val="28"/>
                    </w:rPr>
                    <w:t>О  бюджете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Казансколопатинского сельского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на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91689A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91689A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91689A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2867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C41007" w:rsidP="00A27CF2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91689A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C65D9E" w:rsidRDefault="00A27CF2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  <w:r w:rsidR="00C65D9E"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91689A">
              <w:trPr>
                <w:trHeight w:val="6375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91689A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B33281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91689A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91689A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443.0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C41007" w:rsidRPr="00B67AAA" w:rsidRDefault="00C41007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t xml:space="preserve">     </w:t>
            </w:r>
            <w:r w:rsidR="00080861">
              <w:rPr>
                <w:sz w:val="28"/>
                <w:szCs w:val="28"/>
              </w:rPr>
              <w:t>4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B33281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223A5A" w:rsidRDefault="0091689A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A145D3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669</w:t>
                  </w:r>
                  <w:r w:rsidR="0091689A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A145D3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669</w:t>
                  </w:r>
                  <w:r w:rsidR="0091689A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443.0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товаров, работ и услуг для обеспечения государственных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«Развитие и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3721.8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3625.5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A145D3" w:rsidP="00A27C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65D9E" w:rsidRDefault="00A27CF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  <w:r w:rsidR="00C65D9E"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рамках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FE0EEE" w:rsidP="008E4275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308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145D3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145D3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145D3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080861" w:rsidP="00F75266">
      <w:pPr>
        <w:ind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5)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B51D4B" w:rsidRDefault="00B51D4B">
      <w:pPr>
        <w:spacing w:after="120" w:line="192" w:lineRule="auto"/>
        <w:jc w:val="right"/>
        <w:rPr>
          <w:snapToGrid w:val="0"/>
          <w:sz w:val="28"/>
          <w:szCs w:val="28"/>
        </w:rPr>
        <w:sectPr w:rsidR="00B51D4B" w:rsidSect="009D05BE">
          <w:pgSz w:w="11906" w:h="16838"/>
          <w:pgMar w:top="568" w:right="425" w:bottom="993" w:left="709" w:header="709" w:footer="709" w:gutter="0"/>
          <w:cols w:space="708"/>
          <w:docGrid w:linePitch="360"/>
        </w:sectPr>
      </w:pPr>
    </w:p>
    <w:tbl>
      <w:tblPr>
        <w:tblW w:w="6095" w:type="dxa"/>
        <w:jc w:val="right"/>
        <w:tblLayout w:type="fixed"/>
        <w:tblLook w:val="04A0" w:firstRow="1" w:lastRow="0" w:firstColumn="1" w:lastColumn="0" w:noHBand="0" w:noVBand="1"/>
      </w:tblPr>
      <w:tblGrid>
        <w:gridCol w:w="6095"/>
      </w:tblGrid>
      <w:tr w:rsidR="00B51D4B" w:rsidTr="0096149F">
        <w:trPr>
          <w:trHeight w:val="1696"/>
          <w:jc w:val="right"/>
        </w:trPr>
        <w:tc>
          <w:tcPr>
            <w:tcW w:w="6095" w:type="dxa"/>
          </w:tcPr>
          <w:p w:rsidR="00B51D4B" w:rsidRDefault="00B51D4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B51D4B" w:rsidRDefault="00B51D4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B51D4B" w:rsidRDefault="00B51D4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B51D4B" w:rsidRDefault="00B51D4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2021 год и на плановый период 2022 и 2023 годов»</w:t>
            </w:r>
          </w:p>
        </w:tc>
      </w:tr>
    </w:tbl>
    <w:p w:rsidR="00B51D4B" w:rsidRDefault="00B51D4B" w:rsidP="00B51D4B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B51D4B" w:rsidRDefault="00B51D4B" w:rsidP="00B51D4B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</w:t>
      </w:r>
    </w:p>
    <w:p w:rsidR="00B51D4B" w:rsidRDefault="00B51D4B" w:rsidP="00B51D4B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1D4B" w:rsidRDefault="00B51D4B" w:rsidP="00B51D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3"/>
        <w:gridCol w:w="1137"/>
        <w:gridCol w:w="1134"/>
        <w:gridCol w:w="1134"/>
        <w:gridCol w:w="1278"/>
        <w:gridCol w:w="1134"/>
        <w:gridCol w:w="1134"/>
        <w:gridCol w:w="1275"/>
        <w:gridCol w:w="1134"/>
        <w:gridCol w:w="1418"/>
        <w:gridCol w:w="1133"/>
        <w:gridCol w:w="1134"/>
      </w:tblGrid>
      <w:tr w:rsidR="00B51D4B" w:rsidTr="00DE0FCB">
        <w:trPr>
          <w:trHeight w:val="158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B51D4B" w:rsidRDefault="00B5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Pr="00DE0FCB" w:rsidRDefault="00DE0FCB" w:rsidP="00DE0FC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Расходы на осуществление</w:t>
            </w:r>
            <w:r w:rsidRPr="00DE0FCB">
              <w:rPr>
                <w:color w:val="000000"/>
                <w:spacing w:val="-3"/>
                <w:sz w:val="22"/>
                <w:szCs w:val="22"/>
              </w:rPr>
              <w:t xml:space="preserve"> полномочий по благоустройству территории поселения в части реализации инициативных проектов</w:t>
            </w:r>
          </w:p>
          <w:p w:rsidR="00B51D4B" w:rsidRPr="00B51D4B" w:rsidRDefault="00B51D4B" w:rsidP="00B51D4B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B" w:rsidRDefault="00B51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DE0FCB" w:rsidTr="00DE0FCB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CB" w:rsidRDefault="00DE0FC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Default="00DE0FCB" w:rsidP="00AE392E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Default="00DE0FCB" w:rsidP="00AE392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Default="00DE0FCB" w:rsidP="00AE392E">
            <w:pPr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2023 год</w:t>
            </w:r>
          </w:p>
        </w:tc>
      </w:tr>
      <w:tr w:rsidR="00DE0FCB" w:rsidTr="00DE0FCB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1515,1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</w:pPr>
            <w: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96149F">
            <w:pPr>
              <w:jc w:val="right"/>
            </w:pPr>
            <w:r>
              <w:t>1565,8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</w:tr>
      <w:tr w:rsidR="00DE0FCB" w:rsidTr="00DE0FCB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1515,1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1565,8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51D4B" w:rsidRDefault="00B51D4B" w:rsidP="00B51D4B">
      <w:pPr>
        <w:ind w:left="1080"/>
        <w:jc w:val="center"/>
        <w:rPr>
          <w:b/>
          <w:sz w:val="22"/>
          <w:szCs w:val="22"/>
        </w:rPr>
      </w:pPr>
    </w:p>
    <w:p w:rsidR="00B51D4B" w:rsidRDefault="00B51D4B" w:rsidP="00B51D4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1D4B" w:rsidRDefault="00B51D4B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3564E" w:rsidRPr="00CB590E" w:rsidRDefault="00FF3F80" w:rsidP="00CB59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="00CB590E" w:rsidRPr="00CB5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Щепелев</w:t>
      </w:r>
    </w:p>
    <w:sectPr w:rsidR="0003564E" w:rsidRPr="00CB590E" w:rsidSect="00B51D4B">
      <w:pgSz w:w="16838" w:h="11906" w:orient="landscape"/>
      <w:pgMar w:top="709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65AB3"/>
    <w:rsid w:val="00071F8A"/>
    <w:rsid w:val="00072836"/>
    <w:rsid w:val="00080861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5397F"/>
    <w:rsid w:val="00260B8B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04306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115A0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50771"/>
    <w:rsid w:val="00B51D4B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425D4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13E"/>
  <w15:docId w15:val="{4497A99E-2833-4412-B1A2-2C01A23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2F41-022C-4B89-B995-8744A7D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cp:lastPrinted>2017-12-21T07:00:00Z</cp:lastPrinted>
  <dcterms:created xsi:type="dcterms:W3CDTF">2017-03-06T18:32:00Z</dcterms:created>
  <dcterms:modified xsi:type="dcterms:W3CDTF">2022-02-01T08:15:00Z</dcterms:modified>
</cp:coreProperties>
</file>