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332AE1">
        <w:rPr>
          <w:b w:val="0"/>
          <w:szCs w:val="28"/>
        </w:rPr>
        <w:t>76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332AE1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28.09.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  <w:bookmarkStart w:id="1" w:name="_GoBack"/>
      <w:bookmarkEnd w:id="1"/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 w:rsidR="002D6115"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E0045A">
        <w:rPr>
          <w:iCs/>
          <w:sz w:val="28"/>
          <w:szCs w:val="28"/>
        </w:rPr>
        <w:t>7924,9</w:t>
      </w:r>
      <w:r w:rsidRPr="00A175AC">
        <w:rPr>
          <w:iCs/>
          <w:sz w:val="28"/>
          <w:szCs w:val="28"/>
        </w:rPr>
        <w:t>» заменить цифрами «</w:t>
      </w:r>
      <w:r w:rsidR="00E0045A">
        <w:rPr>
          <w:iCs/>
          <w:sz w:val="28"/>
          <w:szCs w:val="28"/>
        </w:rPr>
        <w:t>8782,2</w:t>
      </w:r>
      <w:r w:rsidRPr="00A175AC">
        <w:rPr>
          <w:iCs/>
          <w:sz w:val="28"/>
          <w:szCs w:val="28"/>
        </w:rPr>
        <w:t>»;</w:t>
      </w:r>
    </w:p>
    <w:p w:rsidR="007A65FB" w:rsidRDefault="002D6115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E0045A">
        <w:rPr>
          <w:iCs/>
          <w:sz w:val="28"/>
          <w:szCs w:val="28"/>
        </w:rPr>
        <w:t>8064,1</w:t>
      </w:r>
      <w:r w:rsidRPr="00A175AC">
        <w:rPr>
          <w:iCs/>
          <w:sz w:val="28"/>
          <w:szCs w:val="28"/>
        </w:rPr>
        <w:t>» заменить цифрами «</w:t>
      </w:r>
      <w:r w:rsidR="00E0045A">
        <w:rPr>
          <w:iCs/>
          <w:sz w:val="28"/>
          <w:szCs w:val="28"/>
        </w:rPr>
        <w:t>8921,4</w:t>
      </w:r>
      <w:r w:rsidRPr="00A175AC">
        <w:rPr>
          <w:iCs/>
          <w:sz w:val="28"/>
          <w:szCs w:val="28"/>
        </w:rPr>
        <w:t>»;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Pr="003159E3">
        <w:rPr>
          <w:sz w:val="28"/>
          <w:szCs w:val="28"/>
        </w:rPr>
        <w:t xml:space="preserve">2)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261"/>
        <w:gridCol w:w="1142"/>
        <w:gridCol w:w="1128"/>
        <w:gridCol w:w="6"/>
        <w:gridCol w:w="136"/>
        <w:gridCol w:w="148"/>
        <w:gridCol w:w="850"/>
      </w:tblGrid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E83C46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E83C46">
        <w:trPr>
          <w:trHeight w:val="420"/>
        </w:trPr>
        <w:tc>
          <w:tcPr>
            <w:tcW w:w="1064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E83C46">
        <w:trPr>
          <w:trHeight w:val="165"/>
        </w:trPr>
        <w:tc>
          <w:tcPr>
            <w:tcW w:w="96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E83C46">
        <w:trPr>
          <w:trHeight w:val="375"/>
        </w:trPr>
        <w:tc>
          <w:tcPr>
            <w:tcW w:w="10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E83C46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E83C46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E83C46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2032.2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E83C46">
        <w:trPr>
          <w:trHeight w:val="18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E83C46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E0045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23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702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E83C46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970558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8E63EE">
              <w:rPr>
                <w:rStyle w:val="blk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1171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6750.0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6750.0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6105.2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64544A" w:rsidRPr="00B360D3" w:rsidRDefault="0064544A" w:rsidP="00E83C46">
            <w:pPr>
              <w:ind w:right="-249"/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 xml:space="preserve">Дотации бюджетам сельских поселений </w:t>
            </w:r>
            <w:r w:rsidR="00E83C46">
              <w:rPr>
                <w:sz w:val="28"/>
                <w:szCs w:val="28"/>
              </w:rPr>
              <w:t xml:space="preserve">на поддержку мер по обеспечению </w:t>
            </w:r>
            <w:r w:rsidRPr="00B360D3">
              <w:rPr>
                <w:sz w:val="28"/>
                <w:szCs w:val="28"/>
              </w:rPr>
              <w:t>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604C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8782.2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4F30EF">
        <w:rPr>
          <w:sz w:val="28"/>
          <w:szCs w:val="28"/>
        </w:rPr>
        <w:t>3</w:t>
      </w:r>
      <w:r w:rsidR="003159E3" w:rsidRPr="003159E3">
        <w:rPr>
          <w:sz w:val="28"/>
          <w:szCs w:val="28"/>
        </w:rPr>
        <w:t>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>
              <w:rPr>
                <w:sz w:val="28"/>
                <w:szCs w:val="28"/>
              </w:rPr>
              <w:lastRenderedPageBreak/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7852D7" w:rsidRDefault="007852D7" w:rsidP="000B75A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8782.2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4CF1" w:rsidRDefault="007852D7" w:rsidP="00604CF1">
            <w:pPr>
              <w:jc w:val="right"/>
            </w:pPr>
            <w:r>
              <w:rPr>
                <w:sz w:val="28"/>
                <w:szCs w:val="28"/>
                <w:lang w:val="en-US"/>
              </w:rPr>
              <w:t>8782.2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604CF1" w:rsidRDefault="007852D7" w:rsidP="00604CF1">
            <w:pPr>
              <w:jc w:val="right"/>
            </w:pPr>
            <w:r>
              <w:rPr>
                <w:sz w:val="28"/>
                <w:szCs w:val="28"/>
                <w:lang w:val="en-US"/>
              </w:rPr>
              <w:t>8782.2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4CF1" w:rsidRDefault="007852D7" w:rsidP="00604CF1">
            <w:pPr>
              <w:jc w:val="right"/>
            </w:pPr>
            <w:r>
              <w:rPr>
                <w:sz w:val="28"/>
                <w:szCs w:val="28"/>
                <w:lang w:val="en-US"/>
              </w:rPr>
              <w:t>8782.2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7852D7" w:rsidRDefault="007852D7" w:rsidP="000B75A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8921.4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4CF1" w:rsidRDefault="007852D7" w:rsidP="00604CF1">
            <w:pPr>
              <w:jc w:val="right"/>
            </w:pPr>
            <w:r>
              <w:rPr>
                <w:sz w:val="28"/>
                <w:szCs w:val="28"/>
                <w:lang w:val="en-US"/>
              </w:rPr>
              <w:t>8921.4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604CF1" w:rsidRDefault="007852D7" w:rsidP="00604CF1">
            <w:pPr>
              <w:jc w:val="right"/>
            </w:pPr>
            <w:r>
              <w:rPr>
                <w:sz w:val="28"/>
                <w:szCs w:val="28"/>
                <w:lang w:val="en-US"/>
              </w:rPr>
              <w:t>8921.4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4CF1" w:rsidRDefault="007852D7" w:rsidP="00604CF1">
            <w:pPr>
              <w:jc w:val="right"/>
            </w:pPr>
            <w:r>
              <w:rPr>
                <w:sz w:val="28"/>
                <w:szCs w:val="28"/>
                <w:lang w:val="en-US"/>
              </w:rPr>
              <w:t>8921.4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0EF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852D7" w:rsidRDefault="004F30EF" w:rsidP="007852D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45714E">
                    <w:rPr>
                      <w:sz w:val="28"/>
                      <w:szCs w:val="28"/>
                    </w:rPr>
                    <w:t>8</w:t>
                  </w:r>
                  <w:r w:rsidR="007852D7">
                    <w:rPr>
                      <w:sz w:val="28"/>
                      <w:szCs w:val="28"/>
                    </w:rPr>
                    <w:t> </w:t>
                  </w:r>
                  <w:r w:rsidR="007852D7">
                    <w:rPr>
                      <w:sz w:val="28"/>
                      <w:szCs w:val="28"/>
                      <w:lang w:val="en-US"/>
                    </w:rPr>
                    <w:t>921.4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7852D7" w:rsidRDefault="007852D7" w:rsidP="00FF362E">
                  <w:pPr>
                    <w:jc w:val="right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FF362E">
                    <w:rPr>
                      <w:bCs/>
                      <w:color w:val="000000"/>
                      <w:lang w:val="en-US"/>
                    </w:rPr>
                    <w:t> 726.9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7852D7" w:rsidRDefault="007852D7" w:rsidP="00FF362E">
                  <w:pPr>
                    <w:jc w:val="right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FF362E">
                    <w:rPr>
                      <w:bCs/>
                      <w:color w:val="000000"/>
                      <w:lang w:val="en-US"/>
                    </w:rPr>
                    <w:t> 628.6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7852D7" w:rsidRDefault="007852D7" w:rsidP="00604CF1">
                  <w:pPr>
                    <w:jc w:val="right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5 066.4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FF362E" w:rsidRDefault="00FF362E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562.0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7852D7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9</w:t>
                  </w:r>
                  <w:r w:rsidR="00604CF1"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D8650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     </w:t>
                  </w:r>
                  <w:r w:rsidR="00604CF1">
                    <w:rPr>
                      <w:iCs/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2</w:t>
                  </w:r>
                  <w:r w:rsidR="00761B0B" w:rsidRPr="00761B0B">
                    <w:t>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FF362E" w:rsidRDefault="00FF362E">
                  <w:pPr>
                    <w:jc w:val="right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577.7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FF362E" w:rsidRDefault="00FF362E">
                  <w:pPr>
                    <w:jc w:val="right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550.7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FF362E" w:rsidRDefault="00FF362E">
                  <w:pPr>
                    <w:jc w:val="right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139.6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604CF1" w:rsidP="00FF36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FF362E">
                    <w:rPr>
                      <w:color w:val="000000"/>
                      <w:lang w:val="en-US"/>
                    </w:rPr>
                    <w:t>73</w:t>
                  </w:r>
                  <w:r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</w:t>
                  </w:r>
                  <w:r w:rsidR="006D4E4A"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6C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3F5CA0" w:rsidRDefault="00C26CE5" w:rsidP="003F5CA0">
                        <w:pPr>
                          <w:jc w:val="righ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3F5CA0">
                          <w:rPr>
                            <w:sz w:val="28"/>
                            <w:szCs w:val="28"/>
                          </w:rPr>
                          <w:t> </w:t>
                        </w:r>
                        <w:r w:rsidR="003F5CA0">
                          <w:rPr>
                            <w:sz w:val="28"/>
                            <w:szCs w:val="28"/>
                            <w:lang w:val="en-US"/>
                          </w:rPr>
                          <w:t>921</w:t>
                        </w:r>
                        <w:r w:rsidR="003F5CA0">
                          <w:rPr>
                            <w:sz w:val="28"/>
                            <w:szCs w:val="28"/>
                          </w:rPr>
                          <w:t>,</w:t>
                        </w:r>
                        <w:r w:rsidR="003F5CA0"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3F5CA0" w:rsidRDefault="00B56A89" w:rsidP="003F5CA0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t>8</w:t>
                        </w:r>
                        <w:r w:rsidR="003F5CA0">
                          <w:t> </w:t>
                        </w:r>
                        <w:r w:rsidR="003F5CA0">
                          <w:rPr>
                            <w:lang w:val="en-US"/>
                          </w:rPr>
                          <w:t>921</w:t>
                        </w:r>
                        <w:r w:rsidR="003F5CA0">
                          <w:t>,</w:t>
                        </w:r>
                        <w:r w:rsidR="003F5CA0"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3F5CA0" w:rsidRDefault="003F5CA0" w:rsidP="003F5CA0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5 066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3F5CA0" w:rsidRDefault="003F5CA0" w:rsidP="003F5CA0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562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9559FD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139,6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9559FD" w:rsidP="003F5CA0">
                        <w:pPr>
                          <w:jc w:val="right"/>
                        </w:pPr>
                        <w:r>
                          <w:t>2</w:t>
                        </w:r>
                        <w:r w:rsidR="003F5CA0">
                          <w:t>7</w:t>
                        </w:r>
                        <w:r>
                          <w:t>3,7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6A89">
              <w:rPr>
                <w:sz w:val="28"/>
                <w:szCs w:val="28"/>
              </w:rPr>
              <w:t>6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3F5CA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3F5CA0">
                    <w:rPr>
                      <w:sz w:val="28"/>
                      <w:szCs w:val="28"/>
                    </w:rPr>
                    <w:t> 921,4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F5CA0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3F5CA0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F5CA0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559FD" w:rsidP="00CD7D5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CD7D50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56A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</w:t>
                  </w:r>
                  <w:r w:rsidRPr="00327EBB">
                    <w:rPr>
                      <w:color w:val="000000"/>
                    </w:rPr>
                    <w:lastRenderedPageBreak/>
                    <w:t>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Муниципальная программа Казансколопатинского сельского поселения «Муниципальная </w:t>
                  </w:r>
                  <w:r w:rsidRPr="00327EBB">
                    <w:rPr>
                      <w:color w:val="000000"/>
                    </w:rPr>
                    <w:lastRenderedPageBreak/>
                    <w:t>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D7D50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9559FD">
                    <w:rPr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D7D50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9559FD">
                    <w:rPr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9559F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D7D50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5 746,2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204A12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5 628,4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5 066,4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514D31">
                    <w:rPr>
                      <w:color w:val="000000"/>
                    </w:rPr>
                    <w:t>1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514D31">
                    <w:rPr>
                      <w:color w:val="000000"/>
                    </w:rPr>
                    <w:t>1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65AB3"/>
    <w:rsid w:val="0007084E"/>
    <w:rsid w:val="0007112C"/>
    <w:rsid w:val="00071F8A"/>
    <w:rsid w:val="00072836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04A12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2AE1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0C5B"/>
    <w:rsid w:val="003E7FE8"/>
    <w:rsid w:val="003F5CA0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04CF1"/>
    <w:rsid w:val="00614178"/>
    <w:rsid w:val="00614CB4"/>
    <w:rsid w:val="00616F05"/>
    <w:rsid w:val="006240E4"/>
    <w:rsid w:val="00626BF7"/>
    <w:rsid w:val="006272C3"/>
    <w:rsid w:val="00632869"/>
    <w:rsid w:val="00636C02"/>
    <w:rsid w:val="00644CCF"/>
    <w:rsid w:val="0064526F"/>
    <w:rsid w:val="0064544A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852D7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559FD"/>
    <w:rsid w:val="0096149F"/>
    <w:rsid w:val="00967C18"/>
    <w:rsid w:val="009703AC"/>
    <w:rsid w:val="00970558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56A89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CD7D50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86502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045A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83C46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E6D2B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62E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5074-52CB-49D1-9680-A0816E3D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33</Pages>
  <Words>7319</Words>
  <Characters>41723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118</cp:revision>
  <cp:lastPrinted>2022-02-22T05:55:00Z</cp:lastPrinted>
  <dcterms:created xsi:type="dcterms:W3CDTF">2017-03-06T18:32:00Z</dcterms:created>
  <dcterms:modified xsi:type="dcterms:W3CDTF">2023-09-28T08:33:00Z</dcterms:modified>
</cp:coreProperties>
</file>